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Feb. 17, 2002</w:t>
        <w:tab/>
        <w:tab/>
        <w:tab/>
        <w:tab/>
        <w:tab/>
        <w:t xml:space="preserve">                                Northwest Bible Church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rtl w:val="0"/>
        </w:rPr>
        <w:t xml:space="preserve">2 Samuel 24:1-10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Sinful Census, Sovereign God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INTRO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This passage poses of the most difficult theological issues in all the Bible, that is, the relationship of God to sin and evil.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I.  THE PROBLEM DEFINED.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 xml:space="preserve">A. David's census was sin.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 xml:space="preserve">1) Joab thought it was foolish (2 Samuel 24:3).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 xml:space="preserve">2) David realized it was sin (2 Samuel 24:10).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 xml:space="preserve">B. David's census was incited by God (2 Samuel 24:1).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II.   THE PROBLEM DELIBERATED.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 xml:space="preserve">A. Two truths to be affirmed: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 xml:space="preserve">1) God is holy and completely righteous (1 Jn. 1:5; Isa. 6; Hab. 1:13).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 xml:space="preserve">2) God is sovereign over all things.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ab/>
        <w:t xml:space="preserve">-Good actions of men, Eph. 2:10.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ab/>
        <w:t xml:space="preserve">-Evil actions of men, Acts 2:22-23; 4:27-28; Lk. 22:22; </w:t>
        <w:tab/>
        <w:tab/>
        <w:tab/>
        <w:tab/>
        <w:tab/>
        <w:tab/>
        <w:t xml:space="preserve">Prov. 16:4; Rev. 17:17; Ex. 4:21; 2 Thess. 2:11.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ab/>
        <w:t xml:space="preserve">-Evil actions of evil spirits, 1 Kngs 22:20-23; Job 1-2.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ab/>
        <w:t xml:space="preserve">-Incidental events, Prov. 16:33; Mt. 10:29-31; 1 Kngs </w:t>
        <w:tab/>
        <w:tab/>
        <w:tab/>
        <w:tab/>
        <w:tab/>
        <w:tab/>
        <w:t xml:space="preserve">22:34.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ab/>
        <w:t xml:space="preserve">-Duration of life, Ps. 39:4; 139:16; Job 14:5.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ab/>
        <w:t xml:space="preserve">-Weather, Job 28:26; Jonah 1:4.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ab/>
        <w:t xml:space="preserve">-Suffering and afflictions, 1 Thess. 3:3; 1 Pet. 1:6; </w:t>
        <w:tab/>
        <w:tab/>
        <w:tab/>
        <w:tab/>
        <w:tab/>
        <w:tab/>
        <w:tab/>
        <w:t xml:space="preserve">Gen. 50:20.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ab/>
        <w:t xml:space="preserve">-Means as well as the ends, Eph. 1:11; Gen. 45:5-8; </w:t>
        <w:tab/>
        <w:tab/>
        <w:tab/>
        <w:tab/>
        <w:tab/>
        <w:tab/>
        <w:t xml:space="preserve">50:20.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 xml:space="preserve">B. Understanding God's use of secondary causes.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 xml:space="preserve">1) God is the primary cause of all things.  But under this there are also secondary causes.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 </w:t>
        <w:tab/>
        <w:tab/>
        <w:t xml:space="preserve">2) Everything happens according to His sovereign decrees.  However, God does not cause evil in the same way He causes good.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 xml:space="preserve">3) The Bible teaches there are two levels of causality when it comes to sin.  There is an immediate and secondary cause of sin in which the guilt is attributed.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 xml:space="preserve">As for the secondary cause of David's sin, see 1 Chron. 21:1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 xml:space="preserve">This helps us to understand James 1:13.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 xml:space="preserve">God's ways are higher than ours, and His thoughts than our thoughts.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ab/>
        <w:tab/>
        <w:t xml:space="preserve">Charnock, "The counsels of a boundless being are not to be scanned by the brain of a silly worm, that hath breathed but a few minutes in the world."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 xml:space="preserve">C. Understanding God's will.  Is it permissive?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 xml:space="preserve">D. Understanding God's foreknowledge.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III.  COMFORT FROM GOD'S SOVEREIGNTY OVER EVIL.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 xml:space="preserve">A. No evil can touch your life that is not subject to Godís control and limitations.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  <w:t xml:space="preserve">B. God has promised good to all of His children and His love controls every temptation and brings good out of every evil that touches our lives. Rom. 8:28.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CONCLUSION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Helvetica Neue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Helvetica Neue" w:hAnsi="Helvetica Neue" w:eastAsia="Helvetica Neue" w:ascii="Helvetica Neue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Sam. 24, 1-10 hdout.docx</dc:title>
</cp:coreProperties>
</file>