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C1" w:rsidRDefault="002B6844">
      <w:pPr>
        <w:rPr>
          <w:sz w:val="20"/>
        </w:rPr>
      </w:pPr>
      <w:bookmarkStart w:id="0" w:name="_GoBack"/>
      <w:bookmarkEnd w:id="0"/>
      <w:r>
        <w:rPr>
          <w:sz w:val="20"/>
        </w:rPr>
        <w:t>June 2, 2002</w:t>
      </w:r>
      <w:r>
        <w:rPr>
          <w:sz w:val="20"/>
        </w:rPr>
        <w:tab/>
      </w:r>
      <w:r>
        <w:rPr>
          <w:sz w:val="20"/>
        </w:rPr>
        <w:tab/>
      </w:r>
      <w:r>
        <w:rPr>
          <w:sz w:val="20"/>
        </w:rPr>
        <w:tab/>
      </w:r>
      <w:r>
        <w:rPr>
          <w:sz w:val="20"/>
        </w:rPr>
        <w:tab/>
      </w:r>
      <w:r>
        <w:rPr>
          <w:sz w:val="20"/>
        </w:rPr>
        <w:tab/>
      </w:r>
      <w:r>
        <w:rPr>
          <w:sz w:val="20"/>
        </w:rPr>
        <w:tab/>
      </w:r>
      <w:r>
        <w:rPr>
          <w:sz w:val="20"/>
        </w:rPr>
        <w:tab/>
        <w:t xml:space="preserve">            Northwest Bible Church</w:t>
      </w:r>
    </w:p>
    <w:p w:rsidR="00B111C1" w:rsidRDefault="00B111C1">
      <w:pPr>
        <w:jc w:val="center"/>
        <w:rPr>
          <w:b/>
          <w:sz w:val="32"/>
        </w:rPr>
      </w:pPr>
    </w:p>
    <w:p w:rsidR="00B111C1" w:rsidRDefault="000E3A54">
      <w:pPr>
        <w:pStyle w:val="Heading1"/>
        <w:rPr>
          <w:rFonts w:ascii="Helvetica" w:hAnsi="Helvetica"/>
        </w:rPr>
      </w:pPr>
      <w:r>
        <w:rPr>
          <w:rFonts w:ascii="Helvetica" w:hAnsi="Helvetica"/>
        </w:rPr>
        <w:t>Romans</w:t>
      </w:r>
      <w:r w:rsidR="002B6844">
        <w:rPr>
          <w:rFonts w:ascii="Helvetica" w:hAnsi="Helvetica"/>
        </w:rPr>
        <w:t xml:space="preserve"> 1:4</w:t>
      </w:r>
    </w:p>
    <w:p w:rsidR="00B111C1" w:rsidRDefault="002B6844">
      <w:pPr>
        <w:jc w:val="center"/>
        <w:rPr>
          <w:b/>
          <w:sz w:val="32"/>
        </w:rPr>
      </w:pPr>
      <w:r>
        <w:rPr>
          <w:b/>
          <w:sz w:val="32"/>
        </w:rPr>
        <w:t>The Exaltation of the Son</w:t>
      </w:r>
    </w:p>
    <w:p w:rsidR="00B111C1" w:rsidRDefault="00B111C1">
      <w:pPr>
        <w:jc w:val="center"/>
        <w:rPr>
          <w:b/>
          <w:sz w:val="32"/>
        </w:rPr>
      </w:pPr>
    </w:p>
    <w:p w:rsidR="00B111C1" w:rsidRDefault="002B6844">
      <w:pPr>
        <w:rPr>
          <w:b/>
        </w:rPr>
      </w:pPr>
      <w:r>
        <w:rPr>
          <w:b/>
        </w:rPr>
        <w:t>INTRO</w:t>
      </w:r>
    </w:p>
    <w:p w:rsidR="00B111C1" w:rsidRDefault="002B6844">
      <w:pPr>
        <w:rPr>
          <w:sz w:val="20"/>
        </w:rPr>
      </w:pPr>
      <w:r>
        <w:rPr>
          <w:sz w:val="20"/>
        </w:rPr>
        <w:tab/>
        <w:t xml:space="preserve"> </w:t>
      </w:r>
    </w:p>
    <w:p w:rsidR="00B111C1" w:rsidRDefault="00B111C1">
      <w:pPr>
        <w:rPr>
          <w:sz w:val="20"/>
        </w:rPr>
      </w:pPr>
    </w:p>
    <w:p w:rsidR="00B111C1" w:rsidRDefault="00B111C1">
      <w:pPr>
        <w:rPr>
          <w:sz w:val="20"/>
        </w:rPr>
      </w:pPr>
    </w:p>
    <w:p w:rsidR="00B111C1" w:rsidRDefault="002B6844">
      <w:pPr>
        <w:rPr>
          <w:b/>
        </w:rPr>
      </w:pPr>
      <w:r>
        <w:rPr>
          <w:b/>
        </w:rPr>
        <w:t>I.  THE EXALTATION OF THE SON OF GOD.</w:t>
      </w:r>
    </w:p>
    <w:p w:rsidR="00B111C1" w:rsidRDefault="00B111C1">
      <w:pPr>
        <w:rPr>
          <w:sz w:val="20"/>
        </w:rPr>
      </w:pPr>
    </w:p>
    <w:p w:rsidR="00B111C1" w:rsidRDefault="00B111C1">
      <w:pPr>
        <w:rPr>
          <w:color w:val="000000"/>
          <w:sz w:val="20"/>
        </w:rPr>
      </w:pPr>
    </w:p>
    <w:p w:rsidR="00B111C1" w:rsidRDefault="002B6844">
      <w:pPr>
        <w:rPr>
          <w:color w:val="000000"/>
          <w:sz w:val="20"/>
        </w:rPr>
      </w:pPr>
      <w:r>
        <w:rPr>
          <w:color w:val="000000"/>
          <w:sz w:val="20"/>
        </w:rPr>
        <w:tab/>
        <w:t>A. The contrasting statements:</w:t>
      </w:r>
    </w:p>
    <w:p w:rsidR="00B111C1" w:rsidRDefault="00B111C1">
      <w:pPr>
        <w:rPr>
          <w:color w:val="000000"/>
          <w:sz w:val="20"/>
        </w:rPr>
      </w:pPr>
    </w:p>
    <w:p w:rsidR="00B111C1" w:rsidRDefault="002B6844">
      <w:pPr>
        <w:rPr>
          <w:color w:val="000000"/>
          <w:sz w:val="20"/>
        </w:rPr>
      </w:pPr>
      <w:r>
        <w:rPr>
          <w:color w:val="000000"/>
          <w:sz w:val="20"/>
        </w:rPr>
        <w:tab/>
      </w:r>
      <w:r>
        <w:rPr>
          <w:color w:val="000000"/>
          <w:sz w:val="20"/>
        </w:rPr>
        <w:tab/>
      </w:r>
      <w:r>
        <w:rPr>
          <w:color w:val="000000"/>
          <w:sz w:val="20"/>
          <w:u w:val="single"/>
        </w:rPr>
        <w:t>v. 3</w:t>
      </w:r>
      <w:r>
        <w:rPr>
          <w:color w:val="000000"/>
          <w:sz w:val="20"/>
        </w:rPr>
        <w:tab/>
      </w:r>
      <w:r>
        <w:rPr>
          <w:color w:val="000000"/>
          <w:sz w:val="20"/>
        </w:rPr>
        <w:tab/>
      </w:r>
      <w:r>
        <w:rPr>
          <w:color w:val="000000"/>
          <w:sz w:val="20"/>
        </w:rPr>
        <w:tab/>
      </w:r>
      <w:r>
        <w:rPr>
          <w:color w:val="000000"/>
          <w:sz w:val="20"/>
        </w:rPr>
        <w:tab/>
      </w:r>
      <w:r>
        <w:rPr>
          <w:color w:val="000000"/>
          <w:sz w:val="20"/>
        </w:rPr>
        <w:tab/>
        <w:t xml:space="preserve">                </w:t>
      </w:r>
      <w:r>
        <w:rPr>
          <w:color w:val="000000"/>
          <w:sz w:val="20"/>
          <w:u w:val="single"/>
        </w:rPr>
        <w:t>v. 4</w:t>
      </w:r>
    </w:p>
    <w:p w:rsidR="00B111C1" w:rsidRDefault="002B6844">
      <w:pPr>
        <w:rPr>
          <w:color w:val="000000"/>
          <w:sz w:val="20"/>
        </w:rPr>
      </w:pPr>
      <w:r>
        <w:rPr>
          <w:i/>
          <w:color w:val="000000"/>
          <w:sz w:val="20"/>
        </w:rPr>
        <w:t>Explicit:</w:t>
      </w:r>
    </w:p>
    <w:p w:rsidR="00B111C1" w:rsidRDefault="002B6844">
      <w:pPr>
        <w:rPr>
          <w:color w:val="000000"/>
          <w:sz w:val="20"/>
        </w:rPr>
      </w:pPr>
      <w:r>
        <w:rPr>
          <w:color w:val="000000"/>
          <w:sz w:val="20"/>
        </w:rPr>
        <w:tab/>
        <w:t xml:space="preserve">“was made”              </w:t>
      </w:r>
      <w:r>
        <w:rPr>
          <w:color w:val="000000"/>
          <w:sz w:val="20"/>
        </w:rPr>
        <w:tab/>
      </w:r>
      <w:r>
        <w:rPr>
          <w:color w:val="000000"/>
          <w:sz w:val="20"/>
        </w:rPr>
        <w:tab/>
        <w:t xml:space="preserve">vs               </w:t>
      </w:r>
      <w:r>
        <w:rPr>
          <w:color w:val="000000"/>
          <w:sz w:val="20"/>
        </w:rPr>
        <w:tab/>
        <w:t>“declared”</w:t>
      </w:r>
    </w:p>
    <w:p w:rsidR="00B111C1" w:rsidRDefault="002B6844">
      <w:pPr>
        <w:rPr>
          <w:color w:val="000000"/>
          <w:sz w:val="20"/>
        </w:rPr>
      </w:pPr>
      <w:r>
        <w:rPr>
          <w:color w:val="000000"/>
          <w:sz w:val="20"/>
        </w:rPr>
        <w:tab/>
        <w:t>“of the seed of David”</w:t>
      </w:r>
      <w:r>
        <w:rPr>
          <w:color w:val="000000"/>
          <w:sz w:val="20"/>
        </w:rPr>
        <w:tab/>
      </w:r>
      <w:r>
        <w:rPr>
          <w:color w:val="000000"/>
          <w:sz w:val="20"/>
        </w:rPr>
        <w:tab/>
        <w:t>vs</w:t>
      </w:r>
      <w:r>
        <w:rPr>
          <w:color w:val="000000"/>
          <w:sz w:val="20"/>
        </w:rPr>
        <w:tab/>
        <w:t xml:space="preserve"> </w:t>
      </w:r>
      <w:r>
        <w:rPr>
          <w:color w:val="000000"/>
          <w:sz w:val="20"/>
        </w:rPr>
        <w:tab/>
        <w:t>“the Son of God”</w:t>
      </w:r>
    </w:p>
    <w:p w:rsidR="00B111C1" w:rsidRDefault="002B6844">
      <w:pPr>
        <w:rPr>
          <w:color w:val="000000"/>
          <w:sz w:val="20"/>
        </w:rPr>
      </w:pPr>
      <w:r>
        <w:rPr>
          <w:color w:val="000000"/>
          <w:sz w:val="20"/>
        </w:rPr>
        <w:tab/>
        <w:t>“according to the flesh”</w:t>
      </w:r>
      <w:r>
        <w:rPr>
          <w:color w:val="000000"/>
          <w:sz w:val="20"/>
        </w:rPr>
        <w:tab/>
      </w:r>
      <w:r>
        <w:rPr>
          <w:color w:val="000000"/>
          <w:sz w:val="20"/>
        </w:rPr>
        <w:tab/>
        <w:t>vs</w:t>
      </w:r>
      <w:r>
        <w:rPr>
          <w:color w:val="000000"/>
          <w:sz w:val="20"/>
        </w:rPr>
        <w:tab/>
      </w:r>
      <w:r>
        <w:rPr>
          <w:color w:val="000000"/>
          <w:sz w:val="20"/>
        </w:rPr>
        <w:tab/>
        <w:t>“according to the Spirit of holiness”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B111C1" w:rsidRDefault="002B6844">
      <w:pPr>
        <w:rPr>
          <w:i/>
          <w:color w:val="000000"/>
          <w:sz w:val="20"/>
        </w:rPr>
      </w:pPr>
      <w:r>
        <w:rPr>
          <w:i/>
          <w:color w:val="000000"/>
          <w:sz w:val="20"/>
        </w:rPr>
        <w:t>Implied:</w:t>
      </w:r>
    </w:p>
    <w:p w:rsidR="00B111C1" w:rsidRDefault="002B6844">
      <w:pPr>
        <w:rPr>
          <w:color w:val="000000"/>
          <w:sz w:val="20"/>
        </w:rPr>
      </w:pPr>
      <w:r>
        <w:rPr>
          <w:color w:val="000000"/>
          <w:sz w:val="20"/>
        </w:rPr>
        <w:tab/>
        <w:t>weakness</w:t>
      </w:r>
      <w:r>
        <w:rPr>
          <w:color w:val="000000"/>
          <w:sz w:val="20"/>
        </w:rPr>
        <w:tab/>
      </w:r>
      <w:r>
        <w:rPr>
          <w:color w:val="000000"/>
          <w:sz w:val="20"/>
        </w:rPr>
        <w:tab/>
      </w:r>
      <w:r>
        <w:rPr>
          <w:color w:val="000000"/>
          <w:sz w:val="20"/>
        </w:rPr>
        <w:tab/>
        <w:t>vs</w:t>
      </w:r>
      <w:r>
        <w:rPr>
          <w:color w:val="000000"/>
          <w:sz w:val="20"/>
        </w:rPr>
        <w:tab/>
      </w:r>
      <w:r>
        <w:rPr>
          <w:color w:val="000000"/>
          <w:sz w:val="20"/>
        </w:rPr>
        <w:tab/>
        <w:t>“with power”</w:t>
      </w:r>
    </w:p>
    <w:p w:rsidR="00B111C1" w:rsidRDefault="002B6844">
      <w:pPr>
        <w:rPr>
          <w:color w:val="000000"/>
          <w:sz w:val="20"/>
        </w:rPr>
      </w:pPr>
      <w:r>
        <w:rPr>
          <w:color w:val="000000"/>
          <w:sz w:val="20"/>
        </w:rPr>
        <w:tab/>
        <w:t>physical birth</w:t>
      </w:r>
      <w:r>
        <w:rPr>
          <w:color w:val="000000"/>
          <w:sz w:val="20"/>
        </w:rPr>
        <w:tab/>
      </w:r>
      <w:r>
        <w:rPr>
          <w:color w:val="000000"/>
          <w:sz w:val="20"/>
        </w:rPr>
        <w:tab/>
      </w:r>
      <w:r>
        <w:rPr>
          <w:color w:val="000000"/>
          <w:sz w:val="20"/>
        </w:rPr>
        <w:tab/>
        <w:t>vs</w:t>
      </w:r>
      <w:r>
        <w:rPr>
          <w:color w:val="000000"/>
          <w:sz w:val="20"/>
        </w:rPr>
        <w:tab/>
      </w:r>
      <w:r>
        <w:rPr>
          <w:color w:val="000000"/>
          <w:sz w:val="20"/>
        </w:rPr>
        <w:tab/>
        <w:t>“by the resurrection”</w:t>
      </w:r>
    </w:p>
    <w:p w:rsidR="00B111C1" w:rsidRDefault="00B111C1">
      <w:pPr>
        <w:rPr>
          <w:sz w:val="20"/>
        </w:rPr>
      </w:pPr>
    </w:p>
    <w:p w:rsidR="00B111C1" w:rsidRDefault="00B111C1">
      <w:pPr>
        <w:rPr>
          <w:sz w:val="20"/>
        </w:rPr>
      </w:pPr>
    </w:p>
    <w:p w:rsidR="00B111C1" w:rsidRDefault="00B111C1">
      <w:pPr>
        <w:rPr>
          <w:sz w:val="20"/>
        </w:rPr>
      </w:pPr>
    </w:p>
    <w:p w:rsidR="00B111C1" w:rsidRDefault="002B6844">
      <w:pPr>
        <w:rPr>
          <w:sz w:val="20"/>
        </w:rPr>
      </w:pPr>
      <w:r>
        <w:rPr>
          <w:sz w:val="20"/>
        </w:rPr>
        <w:tab/>
        <w:t xml:space="preserve">B. Understanding the </w:t>
      </w:r>
      <w:r>
        <w:rPr>
          <w:sz w:val="20"/>
          <w:u w:val="single"/>
        </w:rPr>
        <w:t>general</w:t>
      </w:r>
      <w:r>
        <w:rPr>
          <w:sz w:val="20"/>
        </w:rPr>
        <w:t xml:space="preserve"> contrast between v. 3 and v. 4.</w:t>
      </w:r>
    </w:p>
    <w:p w:rsidR="00B111C1" w:rsidRDefault="00B111C1">
      <w:pPr>
        <w:rPr>
          <w:sz w:val="20"/>
        </w:rPr>
      </w:pPr>
    </w:p>
    <w:p w:rsidR="00B111C1" w:rsidRDefault="002B6844">
      <w:pPr>
        <w:rPr>
          <w:sz w:val="20"/>
        </w:rPr>
      </w:pPr>
      <w:r>
        <w:rPr>
          <w:sz w:val="20"/>
        </w:rPr>
        <w:tab/>
      </w:r>
      <w:r>
        <w:rPr>
          <w:sz w:val="20"/>
        </w:rPr>
        <w:tab/>
        <w:t xml:space="preserve">1) Human and divine natures.  </w:t>
      </w:r>
    </w:p>
    <w:p w:rsidR="00B111C1" w:rsidRDefault="00B111C1">
      <w:pPr>
        <w:rPr>
          <w:sz w:val="20"/>
        </w:rPr>
      </w:pPr>
    </w:p>
    <w:p w:rsidR="00B111C1" w:rsidRDefault="002B6844">
      <w:pPr>
        <w:rPr>
          <w:sz w:val="20"/>
        </w:rPr>
      </w:pPr>
      <w:r>
        <w:rPr>
          <w:sz w:val="20"/>
        </w:rPr>
        <w:tab/>
      </w:r>
      <w:r>
        <w:rPr>
          <w:sz w:val="20"/>
        </w:rPr>
        <w:tab/>
      </w:r>
      <w:r>
        <w:rPr>
          <w:sz w:val="20"/>
        </w:rPr>
        <w:tab/>
      </w:r>
      <w:r>
        <w:rPr>
          <w:sz w:val="20"/>
        </w:rPr>
        <w:tab/>
      </w:r>
      <w:r>
        <w:rPr>
          <w:sz w:val="20"/>
        </w:rPr>
        <w:tab/>
      </w:r>
    </w:p>
    <w:p w:rsidR="00B111C1" w:rsidRDefault="002B6844">
      <w:pPr>
        <w:rPr>
          <w:sz w:val="20"/>
        </w:rPr>
      </w:pPr>
      <w:r>
        <w:rPr>
          <w:sz w:val="20"/>
        </w:rPr>
        <w:tab/>
      </w:r>
      <w:r>
        <w:rPr>
          <w:sz w:val="20"/>
        </w:rPr>
        <w:tab/>
        <w:t xml:space="preserve">2) The two historical phases of His ministry: </w:t>
      </w:r>
      <w:r>
        <w:rPr>
          <w:i/>
          <w:sz w:val="20"/>
        </w:rPr>
        <w:t>incarnation</w:t>
      </w:r>
      <w:r>
        <w:rPr>
          <w:sz w:val="20"/>
        </w:rPr>
        <w:t xml:space="preserve">  and </w:t>
      </w:r>
      <w:r>
        <w:rPr>
          <w:i/>
          <w:sz w:val="20"/>
        </w:rPr>
        <w:t>glorification</w:t>
      </w:r>
      <w:r>
        <w:rPr>
          <w:sz w:val="20"/>
        </w:rPr>
        <w:t xml:space="preserve"> .   </w:t>
      </w:r>
    </w:p>
    <w:p w:rsidR="00B111C1" w:rsidRDefault="00B111C1">
      <w:pPr>
        <w:rPr>
          <w:sz w:val="20"/>
        </w:rPr>
      </w:pPr>
    </w:p>
    <w:p w:rsidR="00B111C1" w:rsidRDefault="00B111C1">
      <w:pPr>
        <w:rPr>
          <w:sz w:val="20"/>
        </w:rPr>
      </w:pPr>
    </w:p>
    <w:p w:rsidR="00B111C1" w:rsidRDefault="00B111C1">
      <w:pPr>
        <w:rPr>
          <w:sz w:val="20"/>
        </w:rPr>
      </w:pPr>
    </w:p>
    <w:p w:rsidR="00B111C1" w:rsidRDefault="002B6844">
      <w:pPr>
        <w:rPr>
          <w:sz w:val="20"/>
        </w:rPr>
      </w:pPr>
      <w:r>
        <w:rPr>
          <w:sz w:val="20"/>
        </w:rPr>
        <w:tab/>
        <w:t xml:space="preserve">C. Understanding the </w:t>
      </w:r>
      <w:r>
        <w:rPr>
          <w:sz w:val="20"/>
          <w:u w:val="single"/>
        </w:rPr>
        <w:t>specific</w:t>
      </w:r>
      <w:r>
        <w:rPr>
          <w:sz w:val="20"/>
        </w:rPr>
        <w:t xml:space="preserve"> contrasts between v. 3 and v. 4.</w:t>
      </w:r>
    </w:p>
    <w:p w:rsidR="00B111C1" w:rsidRDefault="00B111C1">
      <w:pPr>
        <w:rPr>
          <w:sz w:val="20"/>
        </w:rPr>
      </w:pPr>
    </w:p>
    <w:p w:rsidR="00B111C1" w:rsidRDefault="002B6844">
      <w:pPr>
        <w:rPr>
          <w:sz w:val="20"/>
        </w:rPr>
      </w:pPr>
      <w:r>
        <w:rPr>
          <w:sz w:val="20"/>
        </w:rPr>
        <w:tab/>
      </w:r>
      <w:r>
        <w:rPr>
          <w:sz w:val="20"/>
        </w:rPr>
        <w:tab/>
        <w:t>1) The contrast between the Son being “</w:t>
      </w:r>
      <w:r>
        <w:rPr>
          <w:sz w:val="20"/>
          <w:u w:val="single"/>
        </w:rPr>
        <w:t>born</w:t>
      </w:r>
      <w:r>
        <w:rPr>
          <w:sz w:val="20"/>
        </w:rPr>
        <w:t xml:space="preserve"> a descendant of David” and His being “</w:t>
      </w:r>
      <w:r>
        <w:rPr>
          <w:sz w:val="20"/>
          <w:u w:val="single"/>
        </w:rPr>
        <w:t>declared</w:t>
      </w:r>
      <w:r>
        <w:rPr>
          <w:sz w:val="20"/>
        </w:rPr>
        <w:t xml:space="preserve"> to be the Son of God.”  The point is that Jesus was not made the Son of God by the resurrection, He was only declared the Son of God then.    </w:t>
      </w:r>
    </w:p>
    <w:p w:rsidR="00B111C1" w:rsidRDefault="002B6844">
      <w:pPr>
        <w:rPr>
          <w:sz w:val="20"/>
        </w:rPr>
      </w:pPr>
      <w:r>
        <w:rPr>
          <w:sz w:val="20"/>
        </w:rPr>
        <w:tab/>
      </w:r>
      <w:r>
        <w:rPr>
          <w:sz w:val="20"/>
        </w:rPr>
        <w:tab/>
      </w:r>
      <w:r>
        <w:rPr>
          <w:sz w:val="20"/>
        </w:rPr>
        <w:tab/>
      </w:r>
    </w:p>
    <w:p w:rsidR="00B111C1" w:rsidRDefault="002B6844">
      <w:pPr>
        <w:rPr>
          <w:sz w:val="20"/>
        </w:rPr>
      </w:pPr>
      <w:r>
        <w:rPr>
          <w:sz w:val="20"/>
        </w:rPr>
        <w:tab/>
      </w:r>
      <w:r>
        <w:rPr>
          <w:sz w:val="20"/>
        </w:rPr>
        <w:tab/>
      </w:r>
      <w:r>
        <w:rPr>
          <w:sz w:val="20"/>
        </w:rPr>
        <w:tab/>
        <w:t>The idea of “declared” (</w:t>
      </w:r>
      <w:r>
        <w:rPr>
          <w:i/>
          <w:sz w:val="20"/>
        </w:rPr>
        <w:t>oridzo</w:t>
      </w:r>
      <w:r>
        <w:rPr>
          <w:sz w:val="20"/>
        </w:rPr>
        <w:t>)</w:t>
      </w:r>
      <w:r>
        <w:rPr>
          <w:i/>
          <w:sz w:val="20"/>
        </w:rPr>
        <w:t xml:space="preserve">  </w:t>
      </w:r>
      <w:r>
        <w:rPr>
          <w:sz w:val="20"/>
        </w:rPr>
        <w:t xml:space="preserve">is far more than a simple verbal announcement.  It is a formal, legal, and official appointment and assignment.   In this case, the Sonship of Christ took on an elevated status at the time of the resurrection.  He has always been the divine Son of God, but after His resurrection, He began a new phase of his messianic ministry.  </w:t>
      </w:r>
      <w:r>
        <w:rPr>
          <w:sz w:val="20"/>
        </w:rPr>
        <w:tab/>
      </w:r>
    </w:p>
    <w:p w:rsidR="00B111C1" w:rsidRDefault="00B111C1">
      <w:pPr>
        <w:rPr>
          <w:sz w:val="20"/>
        </w:rPr>
      </w:pPr>
    </w:p>
    <w:p w:rsidR="00B111C1" w:rsidRDefault="002B6844">
      <w:pPr>
        <w:rPr>
          <w:sz w:val="20"/>
        </w:rPr>
      </w:pPr>
      <w:r>
        <w:rPr>
          <w:sz w:val="20"/>
        </w:rPr>
        <w:tab/>
      </w:r>
      <w:r>
        <w:rPr>
          <w:sz w:val="20"/>
        </w:rPr>
        <w:tab/>
        <w:t>2) The contrast between “</w:t>
      </w:r>
      <w:r>
        <w:rPr>
          <w:sz w:val="20"/>
          <w:u w:val="single"/>
        </w:rPr>
        <w:t>descendant of David</w:t>
      </w:r>
      <w:r>
        <w:rPr>
          <w:sz w:val="20"/>
        </w:rPr>
        <w:t>” and “</w:t>
      </w:r>
      <w:r>
        <w:rPr>
          <w:sz w:val="20"/>
          <w:u w:val="single"/>
        </w:rPr>
        <w:t>Son of God with power</w:t>
      </w:r>
      <w:r>
        <w:rPr>
          <w:sz w:val="20"/>
        </w:rPr>
        <w:t xml:space="preserve">.”  The first phrase gives us his human credentials to be the Messiah.   The latter phrase, “Son of God with power” is a reference to the authority He now possesses by virtue of His resurrection and exaltation.  </w:t>
      </w:r>
    </w:p>
    <w:p w:rsidR="00B111C1" w:rsidRDefault="002B6844">
      <w:pPr>
        <w:rPr>
          <w:color w:val="000000"/>
          <w:sz w:val="20"/>
        </w:rPr>
      </w:pPr>
      <w:r>
        <w:rPr>
          <w:sz w:val="20"/>
        </w:rPr>
        <w:lastRenderedPageBreak/>
        <w:tab/>
      </w:r>
      <w:r>
        <w:rPr>
          <w:color w:val="000000"/>
          <w:sz w:val="20"/>
        </w:rPr>
        <w:t xml:space="preserve">Before the resurrection He was the son of David in weakness, but after the resurrection we see a glorious change.  Christ is now adorned with splendor, majesty and power.  See Mt. 28:18; Eph. 1:19-23.  </w:t>
      </w:r>
      <w:r>
        <w:rPr>
          <w:color w:val="000000"/>
          <w:sz w:val="20"/>
        </w:rPr>
        <w:tab/>
      </w:r>
    </w:p>
    <w:p w:rsidR="00B111C1" w:rsidRDefault="002B6844">
      <w:pPr>
        <w:rPr>
          <w:sz w:val="20"/>
        </w:rPr>
      </w:pPr>
      <w:r>
        <w:rPr>
          <w:color w:val="000000"/>
          <w:sz w:val="20"/>
        </w:rPr>
        <w:tab/>
        <w:t>The resurrection lifted the veil and enables us to see the glory of the Son of God with power.</w:t>
      </w:r>
    </w:p>
    <w:p w:rsidR="00B111C1" w:rsidRDefault="00B111C1">
      <w:pPr>
        <w:rPr>
          <w:sz w:val="20"/>
        </w:rPr>
      </w:pPr>
    </w:p>
    <w:p w:rsidR="00B111C1" w:rsidRDefault="00B111C1">
      <w:pPr>
        <w:rPr>
          <w:sz w:val="20"/>
        </w:rPr>
      </w:pPr>
    </w:p>
    <w:p w:rsidR="00B111C1" w:rsidRDefault="002B6844">
      <w:pPr>
        <w:rPr>
          <w:sz w:val="20"/>
        </w:rPr>
      </w:pPr>
      <w:r>
        <w:rPr>
          <w:sz w:val="20"/>
        </w:rPr>
        <w:tab/>
      </w:r>
      <w:r>
        <w:rPr>
          <w:sz w:val="20"/>
        </w:rPr>
        <w:tab/>
        <w:t xml:space="preserve">3) The contrast between the” flesh” and the “Spirit.”   </w:t>
      </w:r>
    </w:p>
    <w:p w:rsidR="00B111C1" w:rsidRDefault="00B111C1">
      <w:pPr>
        <w:rPr>
          <w:sz w:val="20"/>
        </w:rPr>
      </w:pPr>
    </w:p>
    <w:p w:rsidR="00B111C1" w:rsidRDefault="002B6844">
      <w:pPr>
        <w:rPr>
          <w:sz w:val="20"/>
        </w:rPr>
      </w:pPr>
      <w:r>
        <w:rPr>
          <w:sz w:val="20"/>
        </w:rPr>
        <w:tab/>
      </w:r>
      <w:r>
        <w:rPr>
          <w:sz w:val="20"/>
        </w:rPr>
        <w:tab/>
      </w:r>
      <w:r>
        <w:rPr>
          <w:sz w:val="20"/>
        </w:rPr>
        <w:tab/>
        <w:t xml:space="preserve">a) Holy Spirit. </w:t>
      </w:r>
    </w:p>
    <w:p w:rsidR="00B111C1" w:rsidRDefault="00B111C1">
      <w:pPr>
        <w:rPr>
          <w:sz w:val="20"/>
        </w:rPr>
      </w:pPr>
    </w:p>
    <w:p w:rsidR="00B111C1" w:rsidRDefault="00B111C1">
      <w:pPr>
        <w:rPr>
          <w:color w:val="000000"/>
          <w:sz w:val="20"/>
        </w:rPr>
      </w:pPr>
    </w:p>
    <w:p w:rsidR="00B111C1" w:rsidRDefault="002B6844">
      <w:pPr>
        <w:rPr>
          <w:color w:val="000000"/>
          <w:sz w:val="20"/>
        </w:rPr>
      </w:pPr>
      <w:r>
        <w:rPr>
          <w:color w:val="000000"/>
          <w:sz w:val="20"/>
        </w:rPr>
        <w:tab/>
      </w:r>
      <w:r>
        <w:rPr>
          <w:color w:val="000000"/>
          <w:sz w:val="20"/>
        </w:rPr>
        <w:tab/>
      </w:r>
      <w:r>
        <w:rPr>
          <w:color w:val="000000"/>
          <w:sz w:val="20"/>
        </w:rPr>
        <w:tab/>
        <w:t>b) Divine nature of Christ.</w:t>
      </w:r>
    </w:p>
    <w:p w:rsidR="00B111C1" w:rsidRDefault="00B111C1">
      <w:pPr>
        <w:rPr>
          <w:color w:val="000000"/>
          <w:sz w:val="20"/>
        </w:rPr>
      </w:pPr>
    </w:p>
    <w:p w:rsidR="00B111C1" w:rsidRDefault="002B6844">
      <w:pPr>
        <w:rPr>
          <w:color w:val="000000"/>
          <w:sz w:val="20"/>
        </w:rPr>
      </w:pPr>
      <w:r>
        <w:rPr>
          <w:color w:val="000000"/>
          <w:sz w:val="20"/>
        </w:rPr>
        <w:tab/>
      </w:r>
    </w:p>
    <w:p w:rsidR="00B111C1" w:rsidRDefault="002B6844">
      <w:pPr>
        <w:rPr>
          <w:color w:val="000000"/>
          <w:sz w:val="20"/>
        </w:rPr>
      </w:pPr>
      <w:r>
        <w:rPr>
          <w:color w:val="000000"/>
          <w:sz w:val="20"/>
        </w:rPr>
        <w:tab/>
      </w:r>
      <w:r>
        <w:rPr>
          <w:color w:val="000000"/>
          <w:sz w:val="20"/>
        </w:rPr>
        <w:tab/>
      </w:r>
      <w:r>
        <w:rPr>
          <w:color w:val="000000"/>
          <w:sz w:val="20"/>
        </w:rPr>
        <w:tab/>
        <w:t>c) A description of Christ spiritually or ethically.</w:t>
      </w:r>
      <w:r>
        <w:rPr>
          <w:color w:val="000000"/>
          <w:sz w:val="20"/>
        </w:rPr>
        <w:tab/>
        <w:t xml:space="preserve"> </w:t>
      </w:r>
    </w:p>
    <w:p w:rsidR="00B111C1" w:rsidRDefault="002B6844">
      <w:pPr>
        <w:rPr>
          <w:color w:val="000000"/>
          <w:sz w:val="20"/>
        </w:rPr>
      </w:pPr>
      <w:r>
        <w:rPr>
          <w:color w:val="000000"/>
          <w:sz w:val="20"/>
        </w:rPr>
        <w:tab/>
        <w:t>The “spirit of holiness” would be similar to “a spirit of gentleness,” “spirit of wisdom.”  It refers to the inner character of Christ, that he had a spirit of holiness and according to this he was appointed to be the Son of God with power by the resurrection.  It is not just the human spirit of our Lord in view but the human spirit as sanctified by His divine nature.</w:t>
      </w:r>
    </w:p>
    <w:p w:rsidR="00B111C1" w:rsidRDefault="002B6844">
      <w:pPr>
        <w:rPr>
          <w:color w:val="000000"/>
          <w:sz w:val="20"/>
        </w:rPr>
      </w:pPr>
      <w:r>
        <w:rPr>
          <w:color w:val="000000"/>
          <w:sz w:val="20"/>
        </w:rPr>
        <w:tab/>
        <w:t>Cf. Phil. 2:5-9; Heb. 1:8-9; 2:9; 5:7-9; Acts 2:27</w:t>
      </w:r>
      <w:r>
        <w:rPr>
          <w:color w:val="000000"/>
          <w:sz w:val="20"/>
        </w:rPr>
        <w:tab/>
      </w:r>
      <w:r>
        <w:rPr>
          <w:color w:val="000000"/>
          <w:sz w:val="20"/>
        </w:rPr>
        <w:tab/>
      </w:r>
    </w:p>
    <w:p w:rsidR="00B111C1" w:rsidRDefault="00B111C1">
      <w:pPr>
        <w:rPr>
          <w:color w:val="000000"/>
          <w:sz w:val="20"/>
        </w:rPr>
      </w:pPr>
    </w:p>
    <w:p w:rsidR="00B111C1" w:rsidRDefault="00B111C1">
      <w:pPr>
        <w:rPr>
          <w:color w:val="000000"/>
          <w:sz w:val="20"/>
        </w:rPr>
      </w:pPr>
    </w:p>
    <w:p w:rsidR="00B111C1" w:rsidRDefault="00B111C1">
      <w:pPr>
        <w:rPr>
          <w:color w:val="000000"/>
          <w:sz w:val="20"/>
        </w:rPr>
      </w:pPr>
    </w:p>
    <w:p w:rsidR="00B111C1" w:rsidRDefault="002B6844">
      <w:pPr>
        <w:rPr>
          <w:b/>
          <w:color w:val="000000"/>
        </w:rPr>
      </w:pPr>
      <w:r>
        <w:rPr>
          <w:b/>
          <w:color w:val="000000"/>
        </w:rPr>
        <w:t>CONCLUSION</w:t>
      </w:r>
    </w:p>
    <w:p w:rsidR="00B111C1" w:rsidRDefault="002B6844">
      <w:pPr>
        <w:rPr>
          <w:color w:val="000000"/>
          <w:sz w:val="20"/>
        </w:rPr>
      </w:pPr>
      <w:r>
        <w:rPr>
          <w:color w:val="000000"/>
          <w:sz w:val="20"/>
        </w:rPr>
        <w:tab/>
        <w:t xml:space="preserve">We see in </w:t>
      </w:r>
      <w:r w:rsidR="00804A88">
        <w:rPr>
          <w:color w:val="000000"/>
          <w:sz w:val="20"/>
        </w:rPr>
        <w:t>Romans 1:</w:t>
      </w:r>
      <w:r>
        <w:rPr>
          <w:color w:val="000000"/>
          <w:sz w:val="20"/>
        </w:rPr>
        <w:t>3-4 the two phases in our Lord’s messianic ministry.  The first was one in relative weakness, the latter in power;  the first as the God-man, the second as the God-glorified man; the first as a king incognito, the latter as a king displayed in power and glory.</w:t>
      </w:r>
    </w:p>
    <w:p w:rsidR="00B111C1" w:rsidRDefault="002B6844">
      <w:pPr>
        <w:rPr>
          <w:color w:val="000000"/>
          <w:sz w:val="20"/>
        </w:rPr>
      </w:pPr>
      <w:r>
        <w:rPr>
          <w:color w:val="000000"/>
          <w:sz w:val="20"/>
        </w:rPr>
        <w:tab/>
      </w:r>
      <w:r>
        <w:rPr>
          <w:color w:val="000000"/>
          <w:sz w:val="20"/>
        </w:rPr>
        <w:tab/>
      </w:r>
      <w:r>
        <w:rPr>
          <w:color w:val="000000"/>
          <w:sz w:val="20"/>
        </w:rPr>
        <w:tab/>
      </w:r>
    </w:p>
    <w:p w:rsidR="00B111C1" w:rsidRDefault="002B6844">
      <w:pPr>
        <w:rPr>
          <w:color w:val="000000"/>
          <w:sz w:val="20"/>
        </w:rPr>
      </w:pPr>
      <w:r>
        <w:rPr>
          <w:color w:val="000000"/>
          <w:sz w:val="20"/>
        </w:rPr>
        <w:tab/>
        <w:t xml:space="preserve">The grand conclusion that Paul makes is that Jesus is Lord, “Jesus Christ our Lord” </w:t>
      </w:r>
      <w:r w:rsidR="00917447">
        <w:rPr>
          <w:color w:val="000000"/>
          <w:sz w:val="20"/>
        </w:rPr>
        <w:t>(Romans 1:</w:t>
      </w:r>
      <w:r>
        <w:rPr>
          <w:color w:val="000000"/>
          <w:sz w:val="20"/>
        </w:rPr>
        <w:t>4).</w:t>
      </w:r>
    </w:p>
    <w:p w:rsidR="00B111C1" w:rsidRDefault="00B111C1">
      <w:pPr>
        <w:rPr>
          <w:color w:val="000000"/>
          <w:sz w:val="20"/>
        </w:rPr>
      </w:pPr>
    </w:p>
    <w:p w:rsidR="00B111C1" w:rsidRDefault="002B6844">
      <w:pPr>
        <w:rPr>
          <w:color w:val="000000"/>
          <w:sz w:val="20"/>
        </w:rPr>
      </w:pPr>
      <w:r>
        <w:rPr>
          <w:color w:val="000000"/>
          <w:sz w:val="20"/>
        </w:rPr>
        <w:tab/>
        <w:t xml:space="preserve"> </w:t>
      </w:r>
    </w:p>
    <w:p w:rsidR="00B111C1" w:rsidRDefault="00B111C1">
      <w:pPr>
        <w:rPr>
          <w:color w:val="000000"/>
          <w:sz w:val="20"/>
        </w:rPr>
      </w:pPr>
    </w:p>
    <w:p w:rsidR="00B111C1" w:rsidRDefault="00B111C1">
      <w:pPr>
        <w:rPr>
          <w:color w:val="000000"/>
          <w:sz w:val="20"/>
        </w:rPr>
      </w:pPr>
    </w:p>
    <w:p w:rsidR="00B111C1" w:rsidRDefault="00B111C1">
      <w:pPr>
        <w:rPr>
          <w:color w:val="000000"/>
          <w:sz w:val="20"/>
        </w:rPr>
      </w:pPr>
    </w:p>
    <w:p w:rsidR="00B111C1" w:rsidRDefault="00B111C1">
      <w:pPr>
        <w:rPr>
          <w:color w:val="000000"/>
          <w:sz w:val="20"/>
        </w:rPr>
      </w:pPr>
    </w:p>
    <w:p w:rsidR="00B111C1" w:rsidRDefault="00B111C1">
      <w:pPr>
        <w:rPr>
          <w:color w:val="000000"/>
          <w:sz w:val="20"/>
        </w:rPr>
      </w:pPr>
    </w:p>
    <w:p w:rsidR="00B111C1" w:rsidRDefault="002B6844">
      <w:pPr>
        <w:rPr>
          <w:sz w:val="20"/>
        </w:rPr>
      </w:pPr>
      <w:r>
        <w:rPr>
          <w:color w:val="000000"/>
          <w:sz w:val="20"/>
        </w:rPr>
        <w:tab/>
      </w:r>
      <w:r>
        <w:rPr>
          <w:color w:val="000000"/>
          <w:sz w:val="20"/>
        </w:rPr>
        <w:tab/>
        <w:t xml:space="preserve"> </w:t>
      </w:r>
    </w:p>
    <w:p w:rsidR="00B111C1" w:rsidRDefault="00B111C1">
      <w:pPr>
        <w:rPr>
          <w:sz w:val="20"/>
        </w:rPr>
      </w:pPr>
    </w:p>
    <w:sectPr w:rsidR="00B111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44"/>
    <w:rsid w:val="000E3A54"/>
    <w:rsid w:val="002B6844"/>
    <w:rsid w:val="00804A88"/>
    <w:rsid w:val="00917447"/>
    <w:rsid w:val="00B1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8389A-33A3-487C-A454-9E788A1F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paragraph" w:styleId="Heading1">
    <w:name w:val="heading 1"/>
    <w:basedOn w:val="Normal"/>
    <w:next w:val="Normal"/>
    <w:qFormat/>
    <w:pPr>
      <w:keepNext/>
      <w:jc w:val="center"/>
      <w:outlineLvl w:val="0"/>
    </w:pPr>
    <w:rPr>
      <w:rFonts w:ascii="Times" w:hAnsi="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June 2, 2002</vt:lpstr>
    </vt:vector>
  </TitlesOfParts>
  <Company>personal</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 2002</dc:title>
  <dc:subject/>
  <dc:creator>Alan Conner</dc:creator>
  <cp:keywords/>
  <cp:lastModifiedBy>Randall, Jon C SSG MIL USA</cp:lastModifiedBy>
  <cp:revision>2</cp:revision>
  <dcterms:created xsi:type="dcterms:W3CDTF">2014-10-01T21:06:00Z</dcterms:created>
  <dcterms:modified xsi:type="dcterms:W3CDTF">2014-10-01T21:06:00Z</dcterms:modified>
</cp:coreProperties>
</file>