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70" w:rsidRPr="00E47B3A" w:rsidRDefault="00E47B3A" w:rsidP="00E47B3A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March 24, 2002                               Northwest Bible Church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INSPIRATION OF THE SCRIPTURES - Part III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 word about translations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INTRO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I. THE KJV vs THE NEWER VERSIONS - Which manuscripts should have the most importance?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A. The origin of the KJV. 1st printed in 1611.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1) John Wycliffe, 1384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2) William Tyndale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,1529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3) Coverdale Bible, 1535.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4) The Great Bible, 1538.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5) Geneva Bible, 1560.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6) Bishop's Bible, 1568.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B. The debate over the textual basis for the KJV.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1) The existing manuscripts.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Autographs:                          0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Greek copies:                          5,338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Versions in other languages:                8,000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2) The KJV does not reflect later manuscript discoveries.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Diagram#1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Diagram #2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II. THE NEWER VERSIONS AND THE DEITY OF CHRIST - Are the accusations just?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KJV     NASB     NIV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John 1:18 No man hath seen God at any time; the only begotten Son, which is in the bosom of the Father, he hath declared him.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John 1:18 No man has seen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God at any time; the only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begotten God, who is in the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bosom of the Father, He has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explained Him.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    John 1:18 No one has ever seen God, but God the One and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Only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who is at the Father’s side, has made him known.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See also Tit. 2:13 and 2 Pet. 1:1 where the NASB and NIV are clearer.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III. THE NIV AND THE PHILOSOPHY OF TRANSLATING THE BIBLE - Literal or dynamic in meaning?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         1) Literal or formal equivalence method.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Seeks a word-for-word equivalency, trying to retain the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lastRenderedPageBreak/>
        <w:t>grammatical structure of the original.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KJV, NASB, RSV.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         2) Free or dynamic equivalence method.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Seeks effectiveness in communication.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More likely to reflect the current culture and social factors of modern readers in its translation.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NIV, GNB. This method can easily be abused.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See Jn. 1:18 for example above for NIV.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IV. THE GENDER-NEUTRAL SHIFT IN TRANSLATIONS - How much should culture influence the translation of the Bible?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NIV     TNIV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 Tim. 2:5 - There is one God and one mediator between God and men, the man Christ Jesus.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Heb. 2:17 - For this reason he (Jesus) had to be made like his brothers in every way, in order that he might become a merciful and faithful high priest.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Mk. 1:17 - Come, follow Me, Jesus said, and I will make you fishers of men."     1 Tim. 2:5 - There is one God and one mediator between God and human beings, Christ Jesus, himself human.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Heb. 2:17 - For this reason he had to made like his brothers and sisters in every way, in order that he might become a merciful and faithful high priest.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Mk. 1:17 - "Come, follow me, Jesus said, and I will send you out to catch people."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CONCLUSION  </w:t>
      </w:r>
    </w:p>
    <w:sectPr w:rsidR="00BB2170" w:rsidRPr="00E4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12"/>
    <w:rsid w:val="000F178E"/>
    <w:rsid w:val="00943BCA"/>
    <w:rsid w:val="009B1312"/>
    <w:rsid w:val="00BB2170"/>
    <w:rsid w:val="00E4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1312"/>
  </w:style>
  <w:style w:type="character" w:styleId="Hyperlink">
    <w:name w:val="Hyperlink"/>
    <w:basedOn w:val="DefaultParagraphFont"/>
    <w:uiPriority w:val="99"/>
    <w:semiHidden/>
    <w:unhideWhenUsed/>
    <w:rsid w:val="009B13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1312"/>
  </w:style>
  <w:style w:type="character" w:styleId="Hyperlink">
    <w:name w:val="Hyperlink"/>
    <w:basedOn w:val="DefaultParagraphFont"/>
    <w:uiPriority w:val="99"/>
    <w:semiHidden/>
    <w:unhideWhenUsed/>
    <w:rsid w:val="009B13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jon.c.randall</dc:creator>
  <cp:lastModifiedBy>jon.c.randall</cp:lastModifiedBy>
  <cp:revision>2</cp:revision>
  <dcterms:created xsi:type="dcterms:W3CDTF">2014-10-02T05:07:00Z</dcterms:created>
  <dcterms:modified xsi:type="dcterms:W3CDTF">2014-10-02T05:07:00Z</dcterms:modified>
</cp:coreProperties>
</file>