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31, 2017 - Christ in the OT Series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Amos 9:11-12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Kingdom of the Messiah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rFonts w:cs="Book Antiqua"/>
          <w:color w:val="000000"/>
          <w:sz w:val="22"/>
          <w:szCs w:val="22"/>
          <w:lang w:eastAsia="ja-JP"/>
        </w:rPr>
      </w:pPr>
      <w:r>
        <w:rPr>
          <w:rFonts w:cs="Book Antiqua"/>
          <w:color w:val="000000"/>
          <w:sz w:val="22"/>
          <w:szCs w:val="22"/>
          <w:lang w:eastAsia="ja-JP"/>
        </w:rPr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A. THE MESSIAH WILL RESTORE THE FALLEN BOOTH OF DAVID (Amos 9:11).</w:t>
      </w:r>
    </w:p>
    <w:p>
      <w:pPr>
        <w:pStyle w:val="Normal"/>
        <w:widowControl w:val="false"/>
        <w:rPr>
          <w:rFonts w:cs="Book Antiqua"/>
          <w:color w:val="000000"/>
          <w:u w:val="single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sz w:val="20"/>
          <w:szCs w:val="20"/>
          <w:lang w:eastAsia="ja-JP"/>
        </w:rPr>
        <w:t xml:space="preserve">1. “In that day I will </w:t>
      </w:r>
      <w:r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cs="Book Antiqua"/>
          <w:color w:val="000000"/>
          <w:sz w:val="20"/>
          <w:szCs w:val="20"/>
          <w:lang w:eastAsia="ja-JP"/>
        </w:rPr>
        <w:t xml:space="preserve">raise up the fallen booth of David”.   </w:t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i/>
          <w:i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2. “And wall up its </w:t>
      </w:r>
      <w:r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cs="Book Antiqua"/>
          <w:color w:val="000000"/>
          <w:sz w:val="20"/>
          <w:szCs w:val="20"/>
          <w:lang w:eastAsia="ja-JP"/>
        </w:rPr>
        <w:t xml:space="preserve">breaches”. </w:t>
      </w:r>
    </w:p>
    <w:p>
      <w:pPr>
        <w:pStyle w:val="Normal"/>
        <w:widowControl w:val="false"/>
        <w:rPr>
          <w:rFonts w:cs="Book Antiqua"/>
          <w:i/>
          <w:i/>
          <w:color w:val="000000"/>
          <w:sz w:val="20"/>
          <w:szCs w:val="20"/>
          <w:lang w:eastAsia="ja-JP"/>
        </w:rPr>
      </w:pPr>
      <w:r>
        <w:rPr>
          <w:rFonts w:cs="Book Antiqua"/>
          <w:i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i/>
          <w:i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3. “I will also raise up its ruins”.  </w:t>
      </w:r>
    </w:p>
    <w:p>
      <w:pPr>
        <w:pStyle w:val="Normal"/>
        <w:widowControl w:val="false"/>
        <w:rPr>
          <w:rFonts w:cs="Book Antiqua"/>
          <w:i/>
          <w:i/>
          <w:color w:val="000000"/>
          <w:sz w:val="20"/>
          <w:szCs w:val="20"/>
          <w:lang w:eastAsia="ja-JP"/>
        </w:rPr>
      </w:pPr>
      <w:r>
        <w:rPr>
          <w:rFonts w:cs="Book Antiqua"/>
          <w:i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>4. “And rebuild it as in the</w:t>
      </w:r>
      <w:r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cs="Book Antiqua"/>
          <w:color w:val="000000"/>
          <w:sz w:val="20"/>
          <w:szCs w:val="20"/>
          <w:lang w:eastAsia="ja-JP"/>
        </w:rPr>
        <w:t>days of old”.</w:t>
      </w:r>
    </w:p>
    <w:p>
      <w:pPr>
        <w:pStyle w:val="Normal"/>
        <w:widowControl w:val="false"/>
        <w:rPr>
          <w:rFonts w:cs="Book Antiqua"/>
          <w:i/>
          <w:i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 xml:space="preserve"> </w:t>
      </w:r>
    </w:p>
    <w:p>
      <w:pPr>
        <w:pStyle w:val="Normal"/>
        <w:widowControl w:val="false"/>
        <w:rPr>
          <w:rFonts w:cs="Book Antiqua"/>
          <w:i/>
          <w:i/>
          <w:color w:val="000000"/>
          <w:lang w:eastAsia="ja-JP"/>
        </w:rPr>
      </w:pPr>
      <w:r>
        <w:rPr>
          <w:rFonts w:cs="Book Antiqua"/>
          <w:i/>
          <w:color w:val="000000"/>
          <w:lang w:eastAsia="ja-JP"/>
        </w:rPr>
      </w:r>
    </w:p>
    <w:p>
      <w:pPr>
        <w:pStyle w:val="Normal"/>
        <w:widowControl w:val="false"/>
        <w:rPr>
          <w:rFonts w:cs="Book Antiqua"/>
          <w:i/>
          <w:i/>
          <w:color w:val="000000"/>
          <w:lang w:eastAsia="ja-JP"/>
        </w:rPr>
      </w:pPr>
      <w:r>
        <w:rPr>
          <w:rFonts w:cs="Book Antiqua"/>
          <w:i/>
          <w:color w:val="000000"/>
          <w:lang w:eastAsia="ja-JP"/>
        </w:rPr>
      </w:r>
    </w:p>
    <w:p>
      <w:pPr>
        <w:pStyle w:val="Normal"/>
        <w:widowControl w:val="false"/>
        <w:rPr>
          <w:rFonts w:cs="Book Antiqua"/>
          <w:b/>
          <w:b/>
          <w:color w:val="000000"/>
          <w:sz w:val="22"/>
          <w:szCs w:val="22"/>
          <w:lang w:eastAsia="ja-JP"/>
        </w:rPr>
      </w:pPr>
      <w:r>
        <w:rPr>
          <w:rFonts w:cs="Book Antiqua"/>
          <w:b/>
          <w:color w:val="000000"/>
          <w:sz w:val="22"/>
          <w:szCs w:val="22"/>
          <w:lang w:eastAsia="ja-JP"/>
        </w:rPr>
        <w:t>B. THE MESSIAH WILL EXPAND THE KINGDOM OF DAVID (Amos 9:12).</w:t>
      </w:r>
    </w:p>
    <w:p>
      <w:pPr>
        <w:pStyle w:val="Normal"/>
        <w:widowControl w:val="false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sz w:val="20"/>
          <w:szCs w:val="20"/>
          <w:lang w:eastAsia="ja-JP"/>
        </w:rPr>
        <w:t xml:space="preserve">1. The purpose of v. 11 is that salvation may come to the Gentiles. </w:t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2. The remnant of “Edom”. </w:t>
      </w:r>
    </w:p>
    <w:p>
      <w:pPr>
        <w:pStyle w:val="Normal"/>
        <w:rPr>
          <w:rFonts w:cs="Book Antiqua"/>
          <w:color w:val="000000"/>
          <w:sz w:val="20"/>
          <w:szCs w:val="20"/>
          <w:u w:val="thick"/>
          <w:lang w:eastAsia="ja-JP"/>
        </w:rPr>
      </w:pPr>
      <w:r>
        <w:rPr>
          <w:rFonts w:cs="Book Antiqua"/>
          <w:color w:val="000000"/>
          <w:sz w:val="20"/>
          <w:szCs w:val="20"/>
          <w:u w:val="thick"/>
          <w:lang w:eastAsia="ja-JP"/>
        </w:rPr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3. “And all the  nations who are </w:t>
      </w:r>
      <w:r>
        <w:rPr>
          <w:rFonts w:cs="Book Antiqua"/>
          <w:i/>
          <w:iCs/>
          <w:color w:val="000000"/>
          <w:sz w:val="20"/>
          <w:szCs w:val="20"/>
          <w:lang w:eastAsia="ja-JP"/>
        </w:rPr>
        <w:t xml:space="preserve"> </w:t>
      </w:r>
      <w:r>
        <w:rPr>
          <w:rFonts w:cs="Book Antiqua"/>
          <w:color w:val="000000"/>
          <w:sz w:val="20"/>
          <w:szCs w:val="20"/>
          <w:lang w:eastAsia="ja-JP"/>
        </w:rPr>
        <w:t xml:space="preserve">called by My name.”  </w:t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4. Declares the LORD who does this.    </w:t>
      </w:r>
    </w:p>
    <w:p>
      <w:pPr>
        <w:pStyle w:val="Normal"/>
        <w:widowControl w:val="false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</w:r>
    </w:p>
    <w:p>
      <w:pPr>
        <w:pStyle w:val="Normal"/>
        <w:widowControl w:val="false"/>
        <w:rPr>
          <w:rFonts w:cs="Book Antiqua"/>
          <w:b/>
          <w:b/>
          <w:color w:val="000000"/>
          <w:sz w:val="22"/>
          <w:szCs w:val="22"/>
          <w:lang w:eastAsia="ja-JP"/>
        </w:rPr>
      </w:pPr>
      <w:r>
        <w:rPr>
          <w:rFonts w:cs="Book Antiqua"/>
          <w:b/>
          <w:color w:val="000000"/>
          <w:sz w:val="22"/>
          <w:szCs w:val="22"/>
          <w:lang w:eastAsia="ja-JP"/>
        </w:rPr>
        <w:t>C. THE FULFILLMENT IN ACTS 15.</w:t>
      </w:r>
    </w:p>
    <w:p>
      <w:pPr>
        <w:pStyle w:val="Normal"/>
        <w:widowControl w:val="false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  <w:tab/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sz w:val="20"/>
          <w:szCs w:val="20"/>
          <w:lang w:eastAsia="ja-JP"/>
        </w:rPr>
        <w:t xml:space="preserve">1. The OT promises that Gentiles will be included in God’s blessings.  Gen. 17:5 with Rom. 4:16-17; Ps. 2:8; Mic. 4:2; Zech. 2:11.  </w:t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widowControl w:val="false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>2. Acts 15:1-18 shows this passage is fulfilled in the church.</w:t>
      </w:r>
    </w:p>
    <w:p>
      <w:pPr>
        <w:pStyle w:val="Normal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  <w:tab/>
      </w:r>
    </w:p>
    <w:p>
      <w:pPr>
        <w:pStyle w:val="Normal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</w:r>
    </w:p>
    <w:p>
      <w:pPr>
        <w:pStyle w:val="Normal"/>
        <w:rPr>
          <w:rFonts w:cs="Book Antiqua"/>
          <w:color w:val="000000"/>
          <w:lang w:eastAsia="ja-JP"/>
        </w:rPr>
      </w:pPr>
      <w:bookmarkStart w:id="0" w:name="_GoBack"/>
      <w:bookmarkStart w:id="1" w:name="_GoBack"/>
      <w:bookmarkEnd w:id="1"/>
      <w:r>
        <w:rPr>
          <w:rFonts w:cs="Book Antiqua"/>
          <w:color w:val="000000"/>
          <w:lang w:eastAsia="ja-JP"/>
        </w:rPr>
      </w:r>
    </w:p>
    <w:p>
      <w:pPr>
        <w:pStyle w:val="Normal"/>
        <w:rPr>
          <w:rFonts w:cs="Book Antiqua"/>
          <w:color w:val="000000"/>
          <w:sz w:val="22"/>
          <w:szCs w:val="22"/>
          <w:lang w:eastAsia="ja-JP"/>
        </w:rPr>
      </w:pPr>
      <w:r>
        <w:rPr>
          <w:rFonts w:cs="Book Antiqua"/>
          <w:color w:val="000000"/>
          <w:sz w:val="22"/>
          <w:szCs w:val="22"/>
          <w:lang w:eastAsia="ja-JP"/>
        </w:rPr>
        <w:t xml:space="preserve">Conclusion -  </w:t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sz w:val="20"/>
          <w:szCs w:val="20"/>
          <w:lang w:eastAsia="ja-JP"/>
        </w:rPr>
        <w:t xml:space="preserve">1.  God is a “rebuilder”.  </w:t>
      </w:r>
    </w:p>
    <w:p>
      <w:pPr>
        <w:pStyle w:val="Normal"/>
        <w:rPr>
          <w:rFonts w:cs="Book Antiqua"/>
          <w:color w:val="000000"/>
          <w:sz w:val="20"/>
          <w:szCs w:val="20"/>
          <w:lang w:eastAsia="ja-JP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</w:r>
    </w:p>
    <w:p>
      <w:pPr>
        <w:pStyle w:val="Normal"/>
        <w:rPr>
          <w:sz w:val="20"/>
          <w:szCs w:val="20"/>
        </w:rPr>
      </w:pPr>
      <w:r>
        <w:rPr>
          <w:rFonts w:cs="Book Antiqua"/>
          <w:color w:val="000000"/>
          <w:sz w:val="20"/>
          <w:szCs w:val="20"/>
          <w:lang w:eastAsia="ja-JP"/>
        </w:rPr>
        <w:tab/>
        <w:t xml:space="preserve">2. Christ makes all things new. </w:t>
      </w:r>
    </w:p>
    <w:p>
      <w:pPr>
        <w:pStyle w:val="Normal"/>
        <w:pBdr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73" w:footer="72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800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8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4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06051"/>
    <w:pPr>
      <w:widowControl/>
      <w:bidi w:val="0"/>
      <w:jc w:val="left"/>
    </w:pPr>
    <w:rPr>
      <w:rFonts w:eastAsia="" w:cs="Times New Roman" w:eastAsiaTheme="minorEastAsia" w:ascii="Book Antiqua" w:hAnsi="Book Antiqu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06051"/>
    <w:rPr>
      <w:rFonts w:eastAsia="" w:cs="Times New Roman" w:eastAsiaTheme="minorEastAsia"/>
    </w:rPr>
  </w:style>
  <w:style w:type="character" w:styleId="Pagenumber">
    <w:name w:val="page number"/>
    <w:basedOn w:val="DefaultParagraphFont"/>
    <w:uiPriority w:val="99"/>
    <w:semiHidden/>
    <w:unhideWhenUsed/>
    <w:qFormat/>
    <w:rsid w:val="00006051"/>
    <w:rPr/>
  </w:style>
  <w:style w:type="character" w:styleId="S1" w:customStyle="1">
    <w:name w:val="s1"/>
    <w:basedOn w:val="DefaultParagraphFont"/>
    <w:qFormat/>
    <w:rsid w:val="00006051"/>
    <w:rPr>
      <w:u w:val="single"/>
    </w:rPr>
  </w:style>
  <w:style w:type="character" w:styleId="Appletabspan" w:customStyle="1">
    <w:name w:val="apple-tab-span"/>
    <w:basedOn w:val="DefaultParagraphFont"/>
    <w:qFormat/>
    <w:rsid w:val="00006051"/>
    <w:rPr/>
  </w:style>
  <w:style w:type="character" w:styleId="Appleconvertedspace" w:customStyle="1">
    <w:name w:val="apple-converted-space"/>
    <w:basedOn w:val="DefaultParagraphFont"/>
    <w:qFormat/>
    <w:rsid w:val="0000605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006051"/>
    <w:pPr>
      <w:tabs>
        <w:tab w:val="center" w:pos="4680" w:leader="none"/>
        <w:tab w:val="right" w:pos="9360" w:leader="none"/>
      </w:tabs>
    </w:pPr>
    <w:rPr/>
  </w:style>
  <w:style w:type="paragraph" w:styleId="P1" w:customStyle="1">
    <w:name w:val="p1"/>
    <w:basedOn w:val="Normal"/>
    <w:qFormat/>
    <w:rsid w:val="00006051"/>
    <w:pPr/>
    <w:rPr>
      <w:rFonts w:eastAsia="Calibri" w:eastAsiaTheme="minorHAns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LibreOffice/5.4.5.1$Linux_X86_64 LibreOffice_project/40$Build-1</Application>
  <Pages>1</Pages>
  <Words>175</Words>
  <Characters>727</Characters>
  <CharactersWithSpaces>929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2017-12-29T21:59:00Z</dcterms:created>
  <dc:creator>Duane Beck</dc:creator>
  <dc:description/>
  <dc:language>en-US</dc:language>
  <cp:lastModifiedBy/>
  <dcterms:modified xsi:type="dcterms:W3CDTF">2018-02-19T16:08:52Z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