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NWBC - April 22,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2:4-13</w:t>
      </w:r>
    </w:p>
    <w:p>
      <w:pPr>
        <w:pStyle w:val="Normal"/>
        <w:jc w:val="center"/>
        <w:rPr>
          <w:i/>
          <w:i/>
        </w:rPr>
      </w:pPr>
      <w:r>
        <w:rPr>
          <w:i/>
        </w:rPr>
        <w:t>Tongues:  Human or Heavenly Language?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HISTORY OF THE PENTECOSTAL MOVEMENT.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theological roots.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First Wave (1906-1960).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Second Wave (1960-1982).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Third Wave (1982 - Present).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DIFFERENT VIEWS ON THE GIFT OF TONGUES.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Both Acts 2 and 1 Cor. 12-14 are known human languages.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90" w:hanging="0"/>
        <w:rPr>
          <w:i/>
          <w:i/>
          <w:sz w:val="20"/>
          <w:szCs w:val="20"/>
        </w:rPr>
      </w:pPr>
      <w:r>
        <w:rPr>
          <w:i/>
          <w:sz w:val="20"/>
          <w:szCs w:val="20"/>
          <w:u w:val="thick"/>
        </w:rPr>
        <w:t>Definition</w:t>
      </w:r>
      <w:r>
        <w:rPr>
          <w:i/>
          <w:sz w:val="20"/>
          <w:szCs w:val="20"/>
        </w:rPr>
        <w:t xml:space="preserve"> - the gift of tongues is the supernatural ability given by the Holy Spirit to instantly speak in another human language not previously learned in order to</w:t>
      </w:r>
      <w:bookmarkStart w:id="0" w:name="_GoBack"/>
      <w:bookmarkEnd w:id="0"/>
      <w:r>
        <w:rPr>
          <w:i/>
          <w:sz w:val="20"/>
          <w:szCs w:val="20"/>
        </w:rPr>
        <w:t xml:space="preserve"> become witnesses of Christ.  </w:t>
      </w:r>
    </w:p>
    <w:p>
      <w:pPr>
        <w:pStyle w:val="Normal"/>
        <w:ind w:left="63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Acts 2 are human languages but 1 Corinthians are heavenly “tongues of angels”.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Both Acts 2 and 1 Cor. 12-14 deal with heavenly language, the tongues of angels.  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TONGUES IN THE BOOK OF ACTS.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Acts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 “other tongues”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>2:4).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>b. the word for “tongues/</w:t>
      </w:r>
      <w:r>
        <w:rPr>
          <w:rFonts w:cs="Book Antiqua"/>
          <w:i/>
          <w:iCs/>
          <w:color w:val="000000"/>
          <w:sz w:val="20"/>
          <w:szCs w:val="20"/>
        </w:rPr>
        <w:t>glossa</w:t>
      </w:r>
      <w:r>
        <w:rPr>
          <w:rFonts w:cs="Book Antiqua"/>
          <w:iCs/>
          <w:color w:val="000000"/>
          <w:sz w:val="20"/>
          <w:szCs w:val="20"/>
        </w:rPr>
        <w:t>” (</w:t>
      </w:r>
      <w:r>
        <w:rPr>
          <w:rFonts w:cs="Book Antiqua"/>
          <w:iCs/>
          <w:color w:val="000000"/>
          <w:sz w:val="20"/>
          <w:szCs w:val="20"/>
        </w:rPr>
        <w:t>Acts 2:</w:t>
      </w:r>
      <w:r>
        <w:rPr>
          <w:rFonts w:cs="Book Antiqua"/>
          <w:iCs/>
          <w:color w:val="000000"/>
          <w:sz w:val="20"/>
          <w:szCs w:val="20"/>
        </w:rPr>
        <w:t xml:space="preserve">4). 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>c.  Miracle of speaking not hearing (</w:t>
      </w:r>
      <w:r>
        <w:rPr>
          <w:rFonts w:cs="Book Antiqua"/>
          <w:iCs/>
          <w:color w:val="000000"/>
          <w:sz w:val="20"/>
          <w:szCs w:val="20"/>
        </w:rPr>
        <w:t xml:space="preserve">Acts </w:t>
      </w:r>
      <w:r>
        <w:rPr>
          <w:rFonts w:cs="Book Antiqua"/>
          <w:iCs/>
          <w:color w:val="000000"/>
          <w:sz w:val="20"/>
          <w:szCs w:val="20"/>
        </w:rPr>
        <w:t xml:space="preserve">6, 11).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>d. the word for “utterance” (</w:t>
      </w:r>
      <w:r>
        <w:rPr>
          <w:rFonts w:cs="Book Antiqua"/>
          <w:iCs/>
          <w:color w:val="000000"/>
          <w:sz w:val="20"/>
          <w:szCs w:val="20"/>
        </w:rPr>
        <w:t>Acts 2:</w:t>
      </w:r>
      <w:r>
        <w:rPr>
          <w:rFonts w:cs="Book Antiqua"/>
          <w:iCs/>
          <w:color w:val="000000"/>
          <w:sz w:val="20"/>
          <w:szCs w:val="20"/>
        </w:rPr>
        <w:t xml:space="preserve">4). 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>e. the word for “language/</w:t>
      </w:r>
      <w:r>
        <w:rPr>
          <w:rFonts w:cs="Book Antiqua"/>
          <w:i/>
          <w:iCs/>
          <w:color w:val="000000"/>
          <w:sz w:val="20"/>
          <w:szCs w:val="20"/>
        </w:rPr>
        <w:t>dialektos</w:t>
      </w:r>
      <w:r>
        <w:rPr>
          <w:rFonts w:cs="Book Antiqua"/>
          <w:iCs/>
          <w:color w:val="000000"/>
          <w:sz w:val="20"/>
          <w:szCs w:val="20"/>
        </w:rPr>
        <w:t>” (</w:t>
      </w:r>
      <w:r>
        <w:rPr>
          <w:rFonts w:cs="Book Antiqua"/>
          <w:iCs/>
          <w:color w:val="000000"/>
          <w:sz w:val="20"/>
          <w:szCs w:val="20"/>
        </w:rPr>
        <w:t>Acts 2:</w:t>
      </w:r>
      <w:r>
        <w:rPr>
          <w:rFonts w:cs="Book Antiqua"/>
          <w:iCs/>
          <w:color w:val="000000"/>
          <w:sz w:val="20"/>
          <w:szCs w:val="20"/>
        </w:rPr>
        <w:t xml:space="preserve">6).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 xml:space="preserve">2. </w:t>
      </w:r>
      <w:bookmarkStart w:id="1" w:name="__DdeLink__121_698254401"/>
      <w:r>
        <w:rPr>
          <w:rFonts w:cs="Book Antiqua"/>
          <w:iCs/>
          <w:color w:val="000000"/>
          <w:sz w:val="20"/>
          <w:szCs w:val="20"/>
        </w:rPr>
        <w:t>Acts 10:</w:t>
      </w:r>
      <w:bookmarkEnd w:id="1"/>
      <w:r>
        <w:rPr>
          <w:rFonts w:cs="Book Antiqua"/>
          <w:iCs/>
          <w:color w:val="000000"/>
          <w:sz w:val="20"/>
          <w:szCs w:val="20"/>
        </w:rPr>
        <w:t xml:space="preserve">44-48. 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>a. Cornelius and those with him spoke in tongues (Acts 10:46).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Book Antiqua"/>
          <w:iCs/>
          <w:color w:val="000000"/>
          <w:sz w:val="20"/>
          <w:szCs w:val="20"/>
        </w:rPr>
        <w:tab/>
        <w:tab/>
        <w:t xml:space="preserve">b. Peter’s testimony (Acts 10:47). 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ab/>
        <w:t>c. Peter later explaining of this event (</w:t>
      </w:r>
      <w:r>
        <w:rPr>
          <w:rFonts w:cs="Book Antiqua"/>
          <w:iCs/>
          <w:color w:val="000000"/>
          <w:sz w:val="20"/>
          <w:szCs w:val="20"/>
        </w:rPr>
        <w:t xml:space="preserve">Acts </w:t>
      </w:r>
      <w:r>
        <w:rPr>
          <w:rFonts w:cs="Book Antiqua"/>
          <w:iCs/>
          <w:color w:val="000000"/>
          <w:sz w:val="20"/>
          <w:szCs w:val="20"/>
        </w:rPr>
        <w:t>11:15, 17).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  <w:u w:val="thick"/>
        </w:rPr>
      </w:pPr>
      <w:r>
        <w:rPr>
          <w:rFonts w:cs="Book Antiqua"/>
          <w:iCs/>
          <w:color w:val="000000"/>
          <w:sz w:val="20"/>
          <w:szCs w:val="20"/>
        </w:rPr>
        <w:tab/>
        <w:t xml:space="preserve">3. Acts 19:6.    Luke uses the same words as in Acts 2.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</w:r>
    </w:p>
    <w:p>
      <w:pPr>
        <w:pStyle w:val="Normal"/>
        <w:rPr>
          <w:rFonts w:cs="Book Antiqua"/>
          <w:b/>
          <w:b/>
          <w:iCs/>
          <w:color w:val="000000"/>
          <w:sz w:val="22"/>
          <w:szCs w:val="22"/>
        </w:rPr>
      </w:pPr>
      <w:r>
        <w:rPr>
          <w:rFonts w:cs="Book Antiqua"/>
          <w:iCs/>
          <w:color w:val="000000"/>
        </w:rPr>
        <w:t xml:space="preserve"> </w:t>
      </w:r>
      <w:r>
        <w:rPr>
          <w:rFonts w:cs="Book Antiqua"/>
          <w:b/>
          <w:iCs/>
          <w:color w:val="000000"/>
          <w:sz w:val="22"/>
          <w:szCs w:val="22"/>
        </w:rPr>
        <w:t>D. TONGUES IN 1 COR. 12-14.</w:t>
      </w:r>
    </w:p>
    <w:p>
      <w:pPr>
        <w:pStyle w:val="Normal"/>
        <w:rPr>
          <w:rFonts w:cs="Book Antiqua"/>
          <w:iCs/>
          <w:color w:val="000000"/>
        </w:rPr>
      </w:pPr>
      <w:r>
        <w:rPr>
          <w:rFonts w:cs="Book Antiqua"/>
          <w:iCs/>
          <w:color w:val="00000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b/>
          <w:iCs/>
          <w:color w:val="000000"/>
        </w:rPr>
        <w:tab/>
      </w:r>
      <w:r>
        <w:rPr>
          <w:rFonts w:cs="Book Antiqua"/>
          <w:iCs/>
          <w:color w:val="000000"/>
          <w:sz w:val="20"/>
          <w:szCs w:val="20"/>
        </w:rPr>
        <w:t xml:space="preserve">1. “tongues of angels” - 1 Cor. 13:1.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 xml:space="preserve">2. “the interpretation of tongues” -  (1 Cor. 12:10; 14:26).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 xml:space="preserve">3. 1 Cor. 14:21, “strange/other tongues” -  exact same words as in Acts 2:4.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</w:rPr>
      </w:pPr>
      <w:r>
        <w:rPr>
          <w:rFonts w:cs="Book Antiqua"/>
          <w:iCs/>
          <w:color w:val="000000"/>
        </w:rPr>
      </w:r>
    </w:p>
    <w:p>
      <w:pPr>
        <w:pStyle w:val="Normal"/>
        <w:rPr>
          <w:rFonts w:cs="Book Antiqua"/>
          <w:b/>
          <w:b/>
          <w:iCs/>
          <w:color w:val="000000"/>
          <w:sz w:val="22"/>
          <w:szCs w:val="22"/>
        </w:rPr>
      </w:pPr>
      <w:r>
        <w:rPr>
          <w:rFonts w:cs="Book Antiqua"/>
          <w:b/>
          <w:iCs/>
          <w:color w:val="000000"/>
          <w:sz w:val="22"/>
          <w:szCs w:val="22"/>
        </w:rPr>
        <w:t>E. OTHER CONCERNS ABOUT MODERN DAY TONGUES.</w:t>
      </w:r>
    </w:p>
    <w:p>
      <w:pPr>
        <w:pStyle w:val="Normal"/>
        <w:rPr>
          <w:rFonts w:cs="Book Antiqua"/>
          <w:b/>
          <w:b/>
          <w:iCs/>
          <w:color w:val="000000"/>
        </w:rPr>
      </w:pPr>
      <w:r>
        <w:rPr>
          <w:rFonts w:cs="Book Antiqua"/>
          <w:b/>
          <w:iCs/>
          <w:color w:val="000000"/>
        </w:rPr>
      </w:r>
    </w:p>
    <w:p>
      <w:pPr>
        <w:pStyle w:val="Normal"/>
        <w:rPr>
          <w:rFonts w:cs="Book Antiqua"/>
          <w:b/>
          <w:b/>
          <w:iCs/>
          <w:color w:val="000000"/>
          <w:sz w:val="20"/>
          <w:szCs w:val="20"/>
        </w:rPr>
      </w:pPr>
      <w:r>
        <w:rPr>
          <w:rFonts w:cs="Book Antiqua"/>
          <w:b/>
          <w:iCs/>
          <w:color w:val="000000"/>
        </w:rPr>
        <w:tab/>
      </w:r>
      <w:r>
        <w:rPr>
          <w:rFonts w:cs="Book Antiqua"/>
          <w:iCs/>
          <w:color w:val="000000"/>
          <w:sz w:val="20"/>
          <w:szCs w:val="20"/>
        </w:rPr>
        <w:t xml:space="preserve">1. The evaluation by linguistics.  </w:t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Cs/>
          <w:color w:val="000000"/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  <w:t xml:space="preserve">2. The pagan practice of speaking in tongues. 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cs="Book Antiqua"/>
          <w:iCs/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Cs/>
          <w:sz w:val="20"/>
          <w:szCs w:val="20"/>
        </w:rPr>
        <w:t xml:space="preserve">3. Can the gift of the “interpretation of tongues” be trusted?  </w:t>
      </w:r>
    </w:p>
    <w:p>
      <w:pPr>
        <w:pStyle w:val="Normal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rFonts w:cs="Book Antiqua"/>
          <w:iCs/>
          <w:color w:val="000000"/>
        </w:rPr>
      </w:pPr>
      <w:r>
        <w:rPr>
          <w:rFonts w:cs="Book Antiqua"/>
          <w:iCs/>
          <w:color w:val="000000"/>
          <w:sz w:val="22"/>
          <w:szCs w:val="22"/>
        </w:rPr>
        <w:t>CONCLUSION</w:t>
      </w:r>
      <w:r>
        <w:rPr>
          <w:rFonts w:cs="Book Antiqua"/>
          <w:iCs/>
          <w:color w:val="000000"/>
        </w:rPr>
        <w:t xml:space="preserve">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27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508888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725cd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725cd"/>
    <w:rPr/>
  </w:style>
  <w:style w:type="character" w:styleId="Pagenumber">
    <w:name w:val="page number"/>
    <w:basedOn w:val="DefaultParagraphFont"/>
    <w:uiPriority w:val="99"/>
    <w:semiHidden/>
    <w:unhideWhenUsed/>
    <w:qFormat/>
    <w:rsid w:val="001725c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1725cd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1725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LibreOffice/5.4.6.2$Linux_X86_64 LibreOffice_project/40$Build-2</Application>
  <Pages>2</Pages>
  <Words>285</Words>
  <Characters>1327</Characters>
  <CharactersWithSpaces>1677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2018-04-20T22:54:00Z</dcterms:created>
  <dc:creator>Alan Conner</dc:creator>
  <dc:description/>
  <dc:language>en-US</dc:language>
  <cp:lastModifiedBy/>
  <dcterms:modified xsi:type="dcterms:W3CDTF">2018-04-25T23:07:25Z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