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4:11-12,</w:t>
      </w:r>
      <w:r>
        <w:rPr>
          <w:sz w:val="26"/>
          <w:szCs w:val="26"/>
        </w:rPr>
        <w:t xml:space="preserve"> </w:t>
      </w:r>
      <w:r>
        <w:rPr>
          <w:smallCaps/>
          <w:sz w:val="34"/>
          <w:szCs w:val="34"/>
        </w:rPr>
        <w:t>Who Do You Think You Are?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30"/>
          <w:szCs w:val="30"/>
        </w:rPr>
        <w:t>A.  Restriction of Critical Speech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Jas.4:11a</w:t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The Command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>Stop Slandering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a. CHARACTERISTICS </w:t>
      </w:r>
    </w:p>
    <w:p>
      <w:pPr>
        <w:pStyle w:val="Normal"/>
        <w:spacing w:lineRule="auto" w:line="480"/>
        <w:ind w:firstLine="720"/>
        <w:rPr/>
      </w:pPr>
      <w:r>
        <w:rPr/>
        <w:t xml:space="preserve">    </w:t>
      </w:r>
      <w:r>
        <w:rPr/>
        <w:t xml:space="preserve">(1) </w:t>
      </w:r>
    </w:p>
    <w:p>
      <w:pPr>
        <w:pStyle w:val="Normal"/>
        <w:spacing w:lineRule="auto" w:line="480"/>
        <w:ind w:firstLine="720"/>
        <w:rPr/>
      </w:pPr>
      <w:r>
        <w:rPr/>
        <w:t xml:space="preserve">    </w:t>
      </w:r>
      <w:r>
        <w:rPr/>
        <w:t xml:space="preserve">(2) </w:t>
      </w:r>
    </w:p>
    <w:p>
      <w:pPr>
        <w:pStyle w:val="Normal"/>
        <w:spacing w:lineRule="auto" w:line="480"/>
        <w:ind w:firstLine="720"/>
        <w:rPr/>
      </w:pPr>
      <w:r>
        <w:rPr/>
        <w:t xml:space="preserve">    </w:t>
      </w:r>
      <w:r>
        <w:rPr/>
        <w:t xml:space="preserve">(3)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b. EXAMPLES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(1) 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(2) 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(3) 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(4) </w:t>
      </w:r>
    </w:p>
    <w:p>
      <w:pPr>
        <w:pStyle w:val="Normal"/>
        <w:spacing w:lineRule="auto" w:line="360"/>
        <w:ind w:firstLine="720"/>
        <w:rPr/>
      </w:pPr>
      <w:r>
        <w:rPr/>
        <w:t xml:space="preserve">    </w:t>
      </w:r>
      <w:r>
        <w:rPr/>
        <w:t xml:space="preserve">(5)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Family Tone 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Brethren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30"/>
          <w:szCs w:val="30"/>
        </w:rPr>
        <w:t>B.  Reason for Prohibition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Jas.4:11b-12a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Breaks Royal Law</w:t>
      </w:r>
      <w:r>
        <w:rPr>
          <w:i/>
          <w:sz w:val="18"/>
          <w:szCs w:val="18"/>
        </w:rPr>
        <w:t>, (James 4:11b)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  <w:t>\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Infringes Upon God’s Prerogative</w:t>
      </w:r>
      <w:r>
        <w:rPr>
          <w:i/>
          <w:sz w:val="18"/>
          <w:szCs w:val="18"/>
        </w:rPr>
        <w:t>, (James 4:12a)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30"/>
          <w:szCs w:val="30"/>
        </w:rPr>
        <w:t>C.  Rebuke of Critical Speech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Jas.4:12b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The Question 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Who do you think you are?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numPr>
          <w:ilvl w:val="0"/>
          <w:numId w:val="2"/>
        </w:numPr>
        <w:ind w:left="900" w:hanging="180"/>
        <w:rPr>
          <w:sz w:val="18"/>
          <w:szCs w:val="18"/>
        </w:rPr>
      </w:pPr>
      <w:r>
        <w:rPr>
          <w:sz w:val="18"/>
          <w:szCs w:val="18"/>
        </w:rPr>
        <w:t>DON’T PRESUME TO PLAY GOD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sz w:val="18"/>
          <w:szCs w:val="18"/>
        </w:rPr>
      </w:pPr>
      <w:r>
        <w:rPr>
          <w:sz w:val="18"/>
          <w:szCs w:val="18"/>
        </w:rPr>
        <w:tab/>
        <w:t>b. YOU DON’T HAVE ENOUGH DATA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The Implication 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The Judgment is future!</w:t>
      </w:r>
    </w:p>
    <w:p>
      <w:pPr>
        <w:pStyle w:val="Normal"/>
        <w:spacing w:lineRule="auto" w:line="720"/>
        <w:rPr/>
      </w:pPr>
      <w:r>
        <w:rPr>
          <w:sz w:val="18"/>
          <w:szCs w:val="18"/>
        </w:rPr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November 18,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8247-ABFB-4BE6-9BCD-DE1BEDC1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LibreOffice/6.1.4.2$Linux_X86_64 LibreOffice_project/10$Build-2</Application>
  <Pages>1</Pages>
  <Words>121</Words>
  <Characters>599</Characters>
  <CharactersWithSpaces>856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2018-11-16T19:37:00Z</dcterms:created>
  <dc:creator>DeWayne</dc:creator>
  <dc:description/>
  <dc:language>en-US</dc:language>
  <cp:lastModifiedBy/>
  <cp:lastPrinted>2018-10-26T17:10:00Z</cp:lastPrinted>
  <dcterms:modified xsi:type="dcterms:W3CDTF">2019-02-07T19:26:33Z</dcterms:modified>
  <cp:revision>5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