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June 1,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 2:13-15</w:t>
      </w:r>
    </w:p>
    <w:p>
      <w:pPr>
        <w:pStyle w:val="Body"/>
        <w:jc w:val="center"/>
      </w:pPr>
      <w:r>
        <w:rPr>
          <w:rtl w:val="0"/>
          <w:lang w:val="en-US"/>
        </w:rPr>
        <w:t>To Egypt and Back Again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Intro </w:t>
        <w:tab/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INTO EGYPT (Matthew 2:13-14).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The message (Matthew 2:13).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reason (Matthew 2:13b).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The response (Matthew 2:14).   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OUT OF EGYPT (Matthew 2:15).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When Herod died, the family returned.     More details in Matthew 2:19-23.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return of Jesus to Israel fulfills a type found in Hos. 11:1.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sz w:val="20"/>
          <w:szCs w:val="20"/>
          <w:u w:val="thick"/>
          <w:rtl w:val="0"/>
          <w:lang w:val="sv-SE"/>
        </w:rPr>
        <w:t>Parallels</w:t>
      </w:r>
      <w:r>
        <w:rPr>
          <w:sz w:val="20"/>
          <w:szCs w:val="20"/>
          <w:rtl w:val="0"/>
        </w:rPr>
        <w:t xml:space="preserve">: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Both went into Egypt.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Both are called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 xml:space="preserve">s son.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Both are called out of Egypt.   </w:t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OTHER PARALLELS BETWEEN JESUS AND ISRAEL IN MATTHEW.</w:t>
      </w:r>
    </w:p>
    <w:p>
      <w:pPr>
        <w:pStyle w:val="Body"/>
      </w:pPr>
      <w:r>
        <w:tab/>
      </w: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Both come out of Egypt (Matthew 2:15).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Both are protected by God (ch. 2).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Both are baptized (ch. 3).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Both experience the wilderness (ch. 4).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5. Both are supernaturally led (ch. 4).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6. Both came to a mountain (ch. 5).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7. Both had 12/12 (ch. 10).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8. Both enter into covenants (Matthew 26:28).</w:t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OTHER PARALLELS BETWEEN JESUS AND ISRAEL IN THE O.T.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 xml:space="preserve">1. </w:t>
      </w:r>
      <w:r>
        <w:rPr>
          <w:sz w:val="20"/>
          <w:szCs w:val="20"/>
          <w:u w:val="single"/>
          <w:rtl w:val="0"/>
          <w:lang w:val="it-IT"/>
        </w:rPr>
        <w:t>Isa. 49:1-8</w:t>
      </w:r>
      <w:r>
        <w:rPr>
          <w:sz w:val="20"/>
          <w:szCs w:val="20"/>
          <w:rtl w:val="0"/>
          <w:lang w:val="en-US"/>
        </w:rPr>
        <w:t xml:space="preserve">  the Messiah is described as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nl-NL"/>
        </w:rPr>
        <w:t>My servant, Israel.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(Matthew 2:3).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</w:t>
      </w:r>
      <w:r>
        <w:rPr>
          <w:sz w:val="20"/>
          <w:szCs w:val="20"/>
          <w:u w:val="single"/>
          <w:rtl w:val="0"/>
          <w:lang w:val="it-IT"/>
        </w:rPr>
        <w:t>Isa. 5:2</w:t>
      </w:r>
      <w:r>
        <w:rPr>
          <w:sz w:val="20"/>
          <w:szCs w:val="20"/>
          <w:rtl w:val="0"/>
          <w:lang w:val="en-US"/>
        </w:rPr>
        <w:t xml:space="preserve">  Israel is a vine bearing worthless grapes.  Cf. Jn. 15:1.  </w:t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E. THE IMPORTANCE OF JESUS AS A NEW ISRAEL.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We get our IDENTITY from Christ.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church as spiritual Israel.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It begins with the remnant of Israel.  Jer. 31:7</w:t>
      </w:r>
    </w:p>
    <w:p>
      <w:pPr>
        <w:pStyle w:val="p1"/>
        <w:tabs>
          <w:tab w:val="left" w:pos="720"/>
          <w:tab w:val="left" w:pos="1440"/>
          <w:tab w:val="left" w:pos="7215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The remnant is the true Israel.  Rom. 9:6</w:t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Gentiles are grafted in  by faith.  Rom. 11:17; Lk. 12:32; Rom. 2:29; Gal. 3:7, 29; Eph. 3:6; </w:t>
        <w:tab/>
        <w:tab/>
        <w:tab/>
        <w:tab/>
        <w:t>1 Pet. 2:9.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Book Antiqua" w:hAnsi="Book Antiqua" w:eastAsia="Book Antiqu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