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Nov. 9,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5:8</w:t>
      </w:r>
    </w:p>
    <w:p>
      <w:pPr>
        <w:pStyle w:val="Body"/>
        <w:jc w:val="center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Blessed are the Pure in Heart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A. THE DEFINITION OF PURE IN HEART.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The heart describes the inner man.  Mt. 15;18-20; Prov. 4:23.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Purity in heart.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ab/>
        <w:t>a. Moral purity -    Ps. 24:3-6.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b. Single-minded commitment to God.   Ps. 86:11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B. THE DEPRAVITY OF THE HEART.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The problem: our hearts are not pure.    Gen. 6:5; 8:21; Jer. 17:9; Eph. 4:18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God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</w:rPr>
        <w:t>s solution.   Deut. 30:6; Ezek. 36:26.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Justification -  Acts 15:9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fr-FR"/>
        </w:rPr>
        <w:tab/>
        <w:tab/>
        <w:t xml:space="preserve">b. Sanctification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Rom. 7:22-23; Ps. 51:10; 2 Cor. 7:1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C. THE DEVELOPMENT OF A PURE HEART.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de-DE"/>
        </w:rPr>
        <w:t>1. Confession of sin.   1 Jn. 1:9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Walk in the Word.  Ps. 119:9-11; 140; Jn. 17:17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3. Walk by the Spirit.  Gal. 5:16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it-IT"/>
        </w:rPr>
        <w:tab/>
        <w:t>4. Walk in prayer.   Ps. 51:10</w:t>
      </w: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5. Focus on Christ and His coming.  1 Jn. 3:2-3</w:t>
      </w:r>
    </w:p>
    <w:p>
      <w:pPr>
        <w:pStyle w:val="Body"/>
        <w:rPr>
          <w:u w:val="single"/>
        </w:rPr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D. DESTINY OF A PURE HEART.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>1. Man on earth cannot see God.  Ex. 33:20; 1 Tim. 6:16; Jn. 1:18; 1 Jn. 4:12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We shall see God.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ab/>
        <w:tab/>
        <w:t>a. Now.    2 Cor. 4:6; 3:18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  <w:lang w:val="de-DE"/>
        </w:rPr>
        <w:tab/>
        <w:tab/>
        <w:t>b. Later.   1 Cor. 13:12; Ps. 17:15; 1 Jn. 3:2; Rev. 22:2; Jn. 17:24</w:t>
      </w:r>
    </w:p>
    <w:p>
      <w:pPr>
        <w:pStyle w:val="Body"/>
      </w:pPr>
    </w:p>
    <w:p>
      <w:pPr>
        <w:pStyle w:val="Body"/>
      </w:pPr>
      <w:r>
        <w:tab/>
      </w: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  <w:r>
        <w:tab/>
      </w: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